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Agreement shall terminate, at the latest, [...] months after the notice to commence construction. It shall be possible to extend the Agreement either by means of an amendment or a request accepted by the Consultant under the conditions of payment accepted by both parties.</w:t>
      </w:r>
    </w:p>
    <w:p>
      <w:pPr/>
      <w:r>
        <w:rPr>
          <w:b w:val="1"/>
          <w:bCs w:val="1"/>
        </w:rPr>
        <w:t xml:space="preserve">Variant:</w:t>
      </w:r>
      <w:br/>
      <w:r>
        <w:rPr/>
        <w:t xml:space="preserve">The Agreement shall terminate, at the latest, [X] months after the commissioning of the services.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2025-12-14T06:35:23+01:00</dcterms:created>
  <dcterms:modified xsi:type="dcterms:W3CDTF">2025-12-14T06:35:23+01:00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