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drawings submitted to the Client by the Consultant are for the sole use of this Agreement.</w:t>
      </w:r>
    </w:p>
    <w:p>
      <w:pPr/>
      <w:r>
        <w:rPr/>
        <w:t xml:space="preserve">The Client undertakes not to unnecessarily disfigure the work by substantial changes, its general aspect and appearance without having first consulted the Consultant for his/her opinion. It is recorded that taking into account the function and commercial value of the work, the Client has the option to adapt the work, by a consultant of his/her choice for reasons of it being dilapidated, to take into account a change of use or in the event of a force majeure (and in particular the security of persons and assets).</w:t>
      </w:r>
    </w:p>
    <w:p>
      <w:pPr/>
      <w:r>
        <w:rPr/>
        <w:t xml:space="preserve">However, the Client shall at least respect the moral right of the Consultant in respect to the choice of architectural or technical solutions that are compatible with the architectural work.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2025-12-14T08:55:51+01:00</dcterms:created>
  <dcterms:modified xsi:type="dcterms:W3CDTF">2025-12-14T08:55:51+01:00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