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mécanismes de suspension, résiliation et résolution des litiges sont essentiels dans les contrats internationaux pour sécuriser les parties face aux imprévus et aux différends.</w:t>
      </w:r>
      <w:br/>
      <w:r>
        <w:rPr/>
        <w:t xml:space="preserve">Depuis 10 ans, ces clauses ont évolué pour mieux anticiper les crises économiques, sanitaires (ex. COVID-19), politiques (ex. conflits géopolitiques) et environnementales (ex. catastrophes naturelles).</w:t>
      </w:r>
    </w:p>
    <w:p>
      <w:pPr/>
      <w:r>
        <w:rPr>
          <w:b w:val="1"/>
          <w:bCs w:val="1"/>
        </w:rPr>
        <w:t xml:space="preserve">Pour aller plus loin sur ce point en Civil Law ou Common Law</w:t>
      </w:r>
    </w:p>
    <w:p>
      <w:pPr/>
      <w:r>
        <w:rPr>
          <w:b w:val="1"/>
          <w:bCs w:val="1"/>
        </w:rPr>
        <w:t xml:space="preserve">Dans les pays de Civil Law</w:t>
      </w:r>
      <w:r>
        <w:rPr/>
        <w:t xml:space="preserve">, notamment en France la réforme du </w:t>
      </w:r>
      <w:r>
        <w:rPr>
          <w:b w:val="1"/>
          <w:bCs w:val="1"/>
        </w:rPr>
        <w:t xml:space="preserve">droit des contrats de 2016</w:t>
      </w:r>
      <w:r>
        <w:rPr/>
        <w:t xml:space="preserve"> a renforcé l'encadrement des ruptures contractuelles avec</w:t>
      </w:r>
    </w:p>
    <w:p>
      <w:pPr>
        <w:numPr>
          <w:ilvl w:val="0"/>
          <w:numId w:val="1"/>
        </w:numPr>
      </w:pPr>
      <w:r>
        <w:rPr>
          <w:b w:val="1"/>
          <w:bCs w:val="1"/>
        </w:rPr>
        <w:t xml:space="preserve">L’article 1218 du Code civil</w:t>
      </w:r>
      <w:r>
        <w:rPr/>
        <w:t xml:space="preserve"> qui définit la force majeure, limitant ainsi la possibilité d’exiger l’exécution d’un contrat en cas de circonstances exceptionnelles. </w:t>
      </w:r>
    </w:p>
    <w:p>
      <w:pPr>
        <w:numPr>
          <w:ilvl w:val="0"/>
          <w:numId w:val="1"/>
        </w:numPr>
      </w:pPr>
      <w:r>
        <w:rPr>
          <w:b w:val="1"/>
          <w:bCs w:val="1"/>
        </w:rPr>
        <w:t xml:space="preserve">L’article 1195 du Code civi</w:t>
      </w:r>
      <w:r>
        <w:rPr/>
        <w:t xml:space="preserve">l qui introduit la théorie de l’</w:t>
      </w:r>
      <w:r>
        <w:rPr>
          <w:b w:val="1"/>
          <w:bCs w:val="1"/>
        </w:rPr>
        <w:t xml:space="preserve">imprévision</w:t>
      </w:r>
      <w:r>
        <w:rPr/>
        <w:t xml:space="preserve">, permettant de renégocier un contrat en cas de changement fondamental des conditions économiques. </w:t>
      </w:r>
    </w:p>
    <w:p>
      <w:pPr>
        <w:numPr>
          <w:ilvl w:val="0"/>
          <w:numId w:val="1"/>
        </w:numPr>
      </w:pPr>
      <w:r>
        <w:rPr>
          <w:b w:val="1"/>
          <w:bCs w:val="1"/>
        </w:rPr>
        <w:t xml:space="preserve">L’article 1224 du Code civil</w:t>
      </w:r>
      <w:r>
        <w:rPr/>
        <w:t xml:space="preserve"> qui encadre la résiliation unilatérale d’un contrat, empêchant les abus. Ces dispositions apportent plus de flexibilité aux parties mais nécessitent des </w:t>
      </w:r>
      <w:r>
        <w:rPr>
          <w:b w:val="1"/>
          <w:bCs w:val="1"/>
        </w:rPr>
        <w:t xml:space="preserve">clauses contractuelle</w:t>
      </w:r>
      <w:r>
        <w:rPr/>
        <w:t xml:space="preserve">s </w:t>
      </w:r>
      <w:r>
        <w:rPr>
          <w:b w:val="1"/>
          <w:bCs w:val="1"/>
        </w:rPr>
        <w:t xml:space="preserve">précises</w:t>
      </w:r>
      <w:r>
        <w:rPr/>
        <w:t xml:space="preserve"> pour éviter des interprétations divergentes</w:t>
      </w:r>
    </w:p>
    <w:p>
      <w:pPr/>
      <w:r>
        <w:rPr>
          <w:b w:val="1"/>
          <w:bCs w:val="1"/>
        </w:rPr>
        <w:t xml:space="preserve">En Common Law</w:t>
      </w:r>
      <w:r>
        <w:rPr/>
        <w:t xml:space="preserve">, les principes restent plus rigides</w:t>
      </w:r>
    </w:p>
    <w:p>
      <w:pPr/>
      <w:r>
        <w:rPr/>
        <w:t xml:space="preserve">La force majeure n’est </w:t>
      </w:r>
      <w:r>
        <w:rPr>
          <w:b w:val="1"/>
          <w:bCs w:val="1"/>
        </w:rPr>
        <w:t xml:space="preserve">pas un principe général de droit</w:t>
      </w:r>
      <w:r>
        <w:rPr/>
        <w:t xml:space="preserve"> et doit être expressément mentionnée dans le contrat pour être applicable.</w:t>
      </w:r>
    </w:p>
    <w:p>
      <w:pPr/>
      <w:r>
        <w:rPr/>
        <w:t xml:space="preserve">-Il n’existe </w:t>
      </w:r>
      <w:r>
        <w:rPr>
          <w:b w:val="1"/>
          <w:bCs w:val="1"/>
        </w:rPr>
        <w:t xml:space="preserve">pas d’équivalent direct à la théorie de l’imprévision</w:t>
      </w:r>
      <w:r>
        <w:rPr/>
        <w:t xml:space="preserve"> (« frustration of contract » étant un principe plus restrictif)</w:t>
      </w:r>
    </w:p>
    <w:p>
      <w:pPr/>
      <w:r>
        <w:rPr/>
        <w:t xml:space="preserve">- La résiliation est encadrée par des clauses de termination for convenience ou termination for breach, qui doivent être clairement négociées.</w:t>
      </w:r>
    </w:p>
    <w:p>
      <w:pPr/>
      <w:r>
        <w:rPr/>
        <w:t xml:space="preserve">Depuis la crise du COVID-19, de nombreux contrats ont intégré des </w:t>
      </w:r>
      <w:r>
        <w:rPr>
          <w:b w:val="1"/>
          <w:bCs w:val="1"/>
        </w:rPr>
        <w:t xml:space="preserve">clauses spécifiques de force majeure</w:t>
      </w:r>
      <w:r>
        <w:rPr/>
        <w:t xml:space="preserve">, prévoyant notamment les pandémies et les perturbations des chaînes d’approvisionnement comme motifs valables de suspension ou de résiliation.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21BEDF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2025-12-14T09:52:08+01:00</dcterms:created>
  <dcterms:modified xsi:type="dcterms:W3CDTF">2025-12-14T09:52:08+01:00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