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Mechanisms for suspension, termination, and settlement of disputes are essential in international contracts to protect the parties from unforeseen events and disagreements.</w:t>
      </w:r>
    </w:p>
    <w:p>
      <w:pPr/>
      <w:r>
        <w:rPr/>
        <w:t xml:space="preserve">Over the past ten years, these clauses have evolved to better anticipate economic, health (e.g. COVID-19), political (e.g. geopolitical conflicts), and environmental crises (e.g. natural disasters).</w:t>
      </w:r>
    </w:p>
    <w:p>
      <w:pPr/>
      <w:r>
        <w:rPr>
          <w:b w:val="1"/>
          <w:bCs w:val="1"/>
        </w:rPr>
        <w:t xml:space="preserve">To explore this point further in Civil Law or Common Law</w:t>
      </w:r>
    </w:p>
    <w:p>
      <w:pPr/>
      <w:r>
        <w:rPr>
          <w:b w:val="1"/>
          <w:bCs w:val="1"/>
        </w:rPr>
        <w:t xml:space="preserve">In Civil Law countries,</w:t>
      </w:r>
      <w:r>
        <w:rPr/>
        <w:t xml:space="preserve"> particularly in France, the </w:t>
      </w:r>
      <w:r>
        <w:rPr>
          <w:b w:val="1"/>
          <w:bCs w:val="1"/>
        </w:rPr>
        <w:t xml:space="preserve">2016 contract law</w:t>
      </w:r>
      <w:r>
        <w:rPr/>
        <w:t xml:space="preserve"> reform strengthened the legal framework around contract termination with the following provisions: </w:t>
      </w:r>
    </w:p>
    <w:p>
      <w:pPr>
        <w:numPr>
          <w:ilvl w:val="0"/>
          <w:numId w:val="1"/>
        </w:numPr>
      </w:pPr>
      <w:r>
        <w:rPr>
          <w:b w:val="1"/>
          <w:bCs w:val="1"/>
        </w:rPr>
        <w:t xml:space="preserve">Article 1218 of the Civil Cod</w:t>
      </w:r>
      <w:r>
        <w:rPr/>
        <w:t xml:space="preserve">e, which defines force majeure, limiting the ability to demand contract performance under exceptional circumstances. </w:t>
      </w:r>
    </w:p>
    <w:p>
      <w:pPr>
        <w:numPr>
          <w:ilvl w:val="0"/>
          <w:numId w:val="1"/>
        </w:numPr>
      </w:pPr>
      <w:r>
        <w:rPr>
          <w:b w:val="1"/>
          <w:bCs w:val="1"/>
        </w:rPr>
        <w:t xml:space="preserve">Article 1195 of the Civil Code</w:t>
      </w:r>
      <w:r>
        <w:rPr/>
        <w:t xml:space="preserve">, which introduces the doctrine of </w:t>
      </w:r>
      <w:r>
        <w:rPr>
          <w:b w:val="1"/>
          <w:bCs w:val="1"/>
        </w:rPr>
        <w:t xml:space="preserve">hardship</w:t>
      </w:r>
      <w:r>
        <w:rPr/>
        <w:t xml:space="preserve">, allowing renegotiation of a contract in the event of a fundamental change in economic conditions. </w:t>
      </w:r>
    </w:p>
    <w:p>
      <w:pPr>
        <w:numPr>
          <w:ilvl w:val="0"/>
          <w:numId w:val="1"/>
        </w:numPr>
      </w:pPr>
      <w:r>
        <w:rPr>
          <w:b w:val="1"/>
          <w:bCs w:val="1"/>
        </w:rPr>
        <w:t xml:space="preserve">Article 1224 of the Civil Code</w:t>
      </w:r>
      <w:r>
        <w:rPr/>
        <w:t xml:space="preserve">, which governs unilateral termination of a contract, preventing abuse. These provisions offer greater flexibility to the parties but require </w:t>
      </w:r>
      <w:r>
        <w:rPr>
          <w:b w:val="1"/>
          <w:bCs w:val="1"/>
        </w:rPr>
        <w:t xml:space="preserve">precise contractual clauses</w:t>
      </w:r>
      <w:r>
        <w:rPr/>
        <w:t xml:space="preserve"> to avoid divergent interpretations.</w:t>
      </w:r>
    </w:p>
    <w:p>
      <w:pPr/>
      <w:r>
        <w:rPr>
          <w:b w:val="1"/>
          <w:bCs w:val="1"/>
        </w:rPr>
        <w:t xml:space="preserve">In Common Law</w:t>
      </w:r>
      <w:r>
        <w:rPr/>
        <w:t xml:space="preserve">, the principles remain more rigid Force majeure </w:t>
      </w:r>
      <w:r>
        <w:rPr>
          <w:b w:val="1"/>
          <w:bCs w:val="1"/>
        </w:rPr>
        <w:t xml:space="preserve">is not a general legal principle</w:t>
      </w:r>
      <w:r>
        <w:rPr/>
        <w:t xml:space="preserve"> and must be expressly included in the contract to be applicable. </w:t>
      </w:r>
    </w:p>
    <w:p>
      <w:pPr>
        <w:numPr>
          <w:ilvl w:val="0"/>
          <w:numId w:val="2"/>
        </w:numPr>
      </w:pPr>
      <w:r>
        <w:rPr/>
        <w:t xml:space="preserve">There is </w:t>
      </w:r>
      <w:r>
        <w:rPr>
          <w:b w:val="1"/>
          <w:bCs w:val="1"/>
        </w:rPr>
        <w:t xml:space="preserve">no direct equivalent to the doctrine of hardship</w:t>
      </w:r>
      <w:r>
        <w:rPr/>
        <w:t xml:space="preserve"> (frustration of contract being narrower and more restrictive) </w:t>
      </w:r>
    </w:p>
    <w:p>
      <w:pPr>
        <w:numPr>
          <w:ilvl w:val="0"/>
          <w:numId w:val="2"/>
        </w:numPr>
      </w:pPr>
      <w:r>
        <w:rPr/>
        <w:t xml:space="preserve">Termination is governed by termination for convenience or termination for breach clauses, which must be clearly negotiated.</w:t>
      </w:r>
    </w:p>
    <w:p>
      <w:pPr/>
      <w:r>
        <w:rPr/>
        <w:t xml:space="preserve">Since the COVID-19 crisis, many contracts have incorporated </w:t>
      </w:r>
      <w:r>
        <w:rPr>
          <w:b w:val="1"/>
          <w:bCs w:val="1"/>
        </w:rPr>
        <w:t xml:space="preserve">specific force majeure clauses,</w:t>
      </w:r>
      <w:r>
        <w:rPr/>
        <w:t xml:space="preserve"> including pandemics and supply chain disruptions as valid grounds for suspension or termination.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3F4653C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E371DBB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2025-12-14T09:53:36+01:00</dcterms:created>
  <dcterms:modified xsi:type="dcterms:W3CDTF">2025-12-14T09:53:36+01:00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