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pénalités à l’encontre du Prestataire ne seront engagées qu’après la mise en demeure du Client.</w:t>
      </w:r>
    </w:p>
    <w:p>
      <w:pPr/>
      <w:r>
        <w:rPr/>
        <w:t xml:space="preserve">L’existence d’indemnités plafonnées et libératoires limite la recherche en responsabilité imputable au Prestataire.</w:t>
      </w:r>
    </w:p>
    <w:p>
      <w:pPr/>
      <w:r>
        <w:rPr/>
        <w:t xml:space="preserve">Des pénalités d’1/200ème des honoraires de la phase concernée par jour ouvré de retard de la fin de l’étape d’études pourront être appliquées.</w:t>
      </w:r>
    </w:p>
    <w:p>
      <w:pPr/>
      <w:r>
        <w:rPr/>
        <w:t xml:space="preserve">Les pénalités éventuelles sont libératoires et plafonnées à 5 % du montant total des honoraires stipulés au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2025-10-17T09:12:53+02:00</dcterms:created>
  <dcterms:modified xsi:type="dcterms:W3CDTF">2025-10-17T09:12:53+02:00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