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est protégé des conséquences pécuniaires de sa responsabilité civile et professionnelle par un contrat d’assurance souscrit auprès de […].</w:t>
      </w:r>
    </w:p>
    <w:p>
      <w:pPr/>
      <w:r>
        <w:rPr/>
        <w:t xml:space="preserve">Ce contrat comporte les garanties ci-dessous (préciser les montants de la garantie par sinistre et par année d’assurance) reproduit en annexe :</w:t>
      </w:r>
    </w:p>
    <w:p>
      <w:pPr>
        <w:numPr>
          <w:ilvl w:val="0"/>
          <w:numId w:val="1"/>
        </w:numPr>
      </w:pPr>
      <w:r>
        <w:rPr/>
        <w:t xml:space="preserve">dommages corporels […] €</w:t>
      </w:r>
    </w:p>
    <w:p>
      <w:pPr>
        <w:numPr>
          <w:ilvl w:val="0"/>
          <w:numId w:val="1"/>
        </w:numPr>
      </w:pPr>
      <w:r>
        <w:rPr/>
        <w:t xml:space="preserve">dommages matériels […] €</w:t>
      </w:r>
    </w:p>
    <w:p>
      <w:pPr>
        <w:numPr>
          <w:ilvl w:val="0"/>
          <w:numId w:val="1"/>
        </w:numPr>
      </w:pPr>
      <w:r>
        <w:rPr/>
        <w:t xml:space="preserve">dommages immatériels consécutifs […] €</w:t>
      </w:r>
    </w:p>
    <w:p>
      <w:pPr>
        <w:numPr>
          <w:ilvl w:val="0"/>
          <w:numId w:val="1"/>
        </w:numPr>
      </w:pPr>
      <w:r>
        <w:rPr/>
        <w:t xml:space="preserve">dommages immatériels non consécutifs […] €</w:t>
      </w:r>
    </w:p>
    <w:p>
      <w:pPr/>
      <w:r>
        <w:rPr/>
        <w:t xml:space="preserve">Ces montants représentent la responsabilité du Prestataire à l’égard du Client et de toute tierce partie.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35B0952A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2025-12-14T07:46:49+01:00</dcterms:created>
  <dcterms:modified xsi:type="dcterms:W3CDTF">2025-12-14T07:46:49+01:00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