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This Agreement will be automatically terminated if the party that is neither in default nor in breach of his/her own obligations so wishes, one month after a formal request has been without reply, in all cases of non-performance or breach by the other party of one or several of the conditions of this Agreement.</w:t>
      </w:r>
    </w:p>
    <w:p>
      <w:pPr/>
      <w:r>
        <w:rPr/>
        <w:t xml:space="preserve">Termination, for whatever the reason, shall be notified by letter with recorded delivery.</w:t>
      </w:r>
    </w:p>
    <w:p>
      <w:pPr/>
      <w:r>
        <w:rPr/>
        <w:t xml:space="preserve">In the event of termination upon the initiative of the Client not justified by a breach of duties of the Consultant, the Consultant shall be entitled not only to the fees due in respect to the services that have been performed at the date of termination and those that correspond to the full Work Stage during which the termination has occurred, but also to an indemnity that is equal to 20 % of the fees for the services the subject of the aforesaid termination.</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2025-12-14T09:55:55+01:00</dcterms:created>
  <dcterms:modified xsi:type="dcterms:W3CDTF">2025-12-14T09:55:55+01:00</dcterms:modified>
</cp:coreProperties>
</file>

<file path=docProps/custom.xml><?xml version="1.0" encoding="utf-8"?>
<Properties xmlns="http://schemas.openxmlformats.org/officeDocument/2006/custom-properties" xmlns:vt="http://schemas.openxmlformats.org/officeDocument/2006/docPropsVTypes"/>
</file>