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Consultant is protected from the financial consequences of his/her civil and professional liability, by an insurance policy taken out with […] :</w:t>
      </w:r>
    </w:p>
    <w:p>
      <w:pPr/>
      <w:r>
        <w:rPr/>
        <w:t xml:space="preserve">This policy covers the guarantees set out below (specify the amounts of the guarantee per loss and per insurance year) reproduced in the appendix:</w:t>
      </w:r>
    </w:p>
    <w:p>
      <w:pPr>
        <w:numPr>
          <w:ilvl w:val="0"/>
          <w:numId w:val="1"/>
        </w:numPr>
      </w:pPr>
      <w:r>
        <w:rPr/>
        <w:t xml:space="preserve">bodily injury […] €</w:t>
      </w:r>
    </w:p>
    <w:p>
      <w:pPr>
        <w:numPr>
          <w:ilvl w:val="0"/>
          <w:numId w:val="1"/>
        </w:numPr>
      </w:pPr>
      <w:r>
        <w:rPr/>
        <w:t xml:space="preserve">material damage […] €</w:t>
      </w:r>
    </w:p>
    <w:p>
      <w:pPr>
        <w:numPr>
          <w:ilvl w:val="0"/>
          <w:numId w:val="1"/>
        </w:numPr>
      </w:pPr>
      <w:r>
        <w:rPr/>
        <w:t xml:space="preserve">consequential non-material damage […] €</w:t>
      </w:r>
    </w:p>
    <w:p>
      <w:pPr>
        <w:numPr>
          <w:ilvl w:val="0"/>
          <w:numId w:val="1"/>
        </w:numPr>
      </w:pPr>
      <w:r>
        <w:rPr/>
        <w:t xml:space="preserve">non-consequential non-material damage […] €</w:t>
      </w:r>
    </w:p>
    <w:p>
      <w:pPr/>
      <w:r>
        <w:rPr/>
        <w:t xml:space="preserve">These amounts represent the liability of the Consultant in respect to the Client and any third party.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4F349391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2025-10-17T09:21:49+02:00</dcterms:created>
  <dcterms:modified xsi:type="dcterms:W3CDTF">2025-10-17T09:21:49+02:00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