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pourra en cas de besoin s’attacher les services d’un Conseil pour l’éclairer sur ses propres prestations (experts, ingénieurs, juristes, ...).Le coût de ces prestations de conseil est réputé inclus dans les honoraires du Prestataire et il ne saurait donc faire l’objet de réclamation auprès du Client.</w:t>
      </w:r>
    </w:p>
    <w:p>
      <w:pPr/>
      <w:r>
        <w:rPr/>
        <w:t xml:space="preserve">Contrairement aux sous-traitants, le Prestataire n’a pas à demander l’agrément du Client pour le recours à des conseils.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2025-10-17T09:24:48+02:00</dcterms:created>
  <dcterms:modified xsi:type="dcterms:W3CDTF">2025-10-17T09:24:48+02:00</dcterms:modified>
</cp:coreProperties>
</file>

<file path=docProps/custom.xml><?xml version="1.0" encoding="utf-8"?>
<Properties xmlns="http://schemas.openxmlformats.org/officeDocument/2006/custom-properties" xmlns:vt="http://schemas.openxmlformats.org/officeDocument/2006/docPropsVTypes"/>
</file>