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On the basis of […], initial construction cost of the Works is estimated to be […], as of […].</w:t>
      </w:r>
    </w:p>
    <w:p>
      <w:pPr/>
      <w:r>
        <w:rPr/>
        <w:t xml:space="preserve">The Client is obliged to ensure that the financial means are adequate in respect to his/her objectives as defined in Article 2.3.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2025-10-17T09:21:07+02:00</dcterms:created>
  <dcterms:modified xsi:type="dcterms:W3CDTF">2025-10-17T09:21:07+02:00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