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un groupement conjoint (ou solidaire) de maîtrise d’oeuvre.</w:t>
      </w:r>
    </w:p>
    <w:p>
      <w:pPr/>
      <w:r>
        <w:rPr/>
        <w:t xml:space="preserve">Le mandataire du groupement est […]. Il assume à ce titre les tâches spécifiques suivantes :</w:t>
      </w:r>
    </w:p>
    <w:p>
      <w:pPr/>
      <w:r>
        <w:rPr/>
        <w:t xml:space="preserve">• […]</w:t>
      </w:r>
    </w:p>
    <w:p>
      <w:pPr/>
      <w:r>
        <w:rPr/>
        <w:t xml:space="preserve">• […]</w:t>
      </w:r>
    </w:p>
    <w:p>
      <w:pPr/>
      <w:r>
        <w:rPr/>
        <w:t xml:space="preserve">Il est l’interlocuteur de référence du Client pour l’exécution du présent contrat. Le Client s’engage à ne pas communiquer directement avec les autres membres du groupement.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2025-12-14T07:20:21+01:00</dcterms:created>
  <dcterms:modified xsi:type="dcterms:W3CDTF">2025-12-14T07:20:21+01:00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