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L’impact financier de l’assurance requise, souscrite par le Client, sera répercuté sur le Prestataire dans la limite de […] du montant total de ses honoraires.</w:t>
      </w:r>
    </w:p>
    <w:p>
      <w:pPr/>
      <w:r>
        <w:rPr/>
        <w:t xml:space="preserve">Le Client souscrira une police […] conforme à la réglementation applicable qui couvrira l’ensemble des intervenants, conformément au présent contrat. Il s’engage à fournir au Prestataire la police correspondante.</w:t>
      </w:r>
    </w:p>
    <w:p>
      <w:pPr/>
      <w:r>
        <w:rPr>
          <w:b w:val="1"/>
          <w:bCs w:val="1"/>
        </w:rPr>
        <w:t xml:space="preserve">Variante :</w:t>
      </w:r>
    </w:p>
    <w:p>
      <w:pPr/>
      <w:r>
        <w:rPr/>
        <w:t xml:space="preserve">Le montant des primes d’assurances relatives à la police souscrite par le Prestataire pour l’opération objet des présentes est pris en charge par le Client sur présentation des justificatifs y afférents.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2025-12-14T09:45:49+01:00</dcterms:created>
  <dcterms:modified xsi:type="dcterms:W3CDTF">2025-12-14T09:45:49+01:00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