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Clause d’imprévision</w:t>
      </w:r>
      <w:br/>
      <w:r>
        <w:rPr>
          <w:b w:val="1"/>
          <w:bCs w:val="1"/>
        </w:rPr>
        <w:t xml:space="preserve">Flexibilité contractuelle : extensions de délais et ajustements</w:t>
      </w:r>
      <w:br/>
      <w:r>
        <w:rPr/>
        <w:t xml:space="preserve">En cas de circonstances exceptionnelles affectant l’exécution du contrat, y compris mais sans s’y limiter : des retards imputables à des décisions administratives, des évolutions réglementaires, des contraintes techniques imprévues ou des interruptions majeures des chaînes d’approvisionnement… les parties conviennent de renégocier les délais et conditions d’exécution.</w:t>
      </w:r>
    </w:p>
    <w:p>
      <w:pPr/>
      <w:r>
        <w:rPr/>
        <w:t xml:space="preserve">L’entrepreneur pourra soumettre une demande d’extension de délai en justifiant des raisons objectives de la modification. Le maître d’ouvrage disposera de 15 jours pour accepter ou proposer un ajustement alternatif.</w:t>
      </w:r>
    </w:p>
    <w:p>
      <w:pPr/>
      <w:r>
        <w:rPr/>
        <w:t xml:space="preserve">En l’absence de réponse dans ce délai, l’extension de délai sera considérée comme acceptée.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2025-12-14T09:56:32+01:00</dcterms:created>
  <dcterms:modified xsi:type="dcterms:W3CDTF">2025-12-14T09:56:32+01:00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