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En cas de désaccord sur les modalités d’exécution du contrat, chaque partie doit adresser un courrier recommandé à l’autre partie pour lui exposer ses griefs et leurs conséquences. Le destinataire dispose d’un mois après réception pour répondre. Cette procédure ne suspend ni ne résilie le contrat.</w:t>
      </w:r>
    </w:p>
    <w:p>
      <w:pPr/>
      <w:r>
        <w:rPr/>
        <w:t xml:space="preserve">La procédure mise en place sera […].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2025-12-14T09:57:24+01:00</dcterms:created>
  <dcterms:modified xsi:type="dcterms:W3CDTF">2025-12-14T09:57:24+01:00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