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b w:val="1"/>
          <w:bCs w:val="1"/>
        </w:rPr>
        <w:t xml:space="preserve">Unforeseen circumstances clause</w:t>
      </w:r>
      <w:br/>
      <w:r>
        <w:rPr>
          <w:b w:val="1"/>
          <w:bCs w:val="1"/>
        </w:rPr>
        <w:t xml:space="preserve">Contractual flexibility: deadline extensions and adjustments</w:t>
      </w:r>
      <w:br/>
      <w:r>
        <w:rPr/>
        <w:t xml:space="preserve">In the event of exceptional circumstances affecting the performance of the contract, including but not limited to: delays attributable to administrative decisions, regulatory changes, unforeseen technical constraints, or major supply chain disruptions, the parties agree to renegotiate the deadlines and terms of performance.</w:t>
      </w:r>
    </w:p>
    <w:p>
      <w:pPr/>
      <w:r>
        <w:rPr/>
        <w:t xml:space="preserve">The contractor may submit a request for an extension of time, justifying the objective reasons for the change. The project owner shall have 15 days to accept or propose an alternative adjustment.</w:t>
      </w:r>
    </w:p>
    <w:p>
      <w:pPr/>
      <w:r>
        <w:rPr/>
        <w:t xml:space="preserve">If no response is received within this period, the extension shall be deemed accepted.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2025-12-14T07:57:08+01:00</dcterms:created>
  <dcterms:modified xsi:type="dcterms:W3CDTF">2025-12-14T07:57:08+01:00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