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L’intégration de </w:t>
      </w:r>
      <w:r>
        <w:rPr>
          <w:b w:val="1"/>
          <w:bCs w:val="1"/>
        </w:rPr>
        <w:t xml:space="preserve">clauses éthiques et de gestion des risque</w:t>
      </w:r>
      <w:r>
        <w:rPr/>
        <w:t xml:space="preserve">s dans les contrats internationaux répond à une exigence croissante de transparence, de responsabilité et d’anticipation des enjeux globaux.</w:t>
      </w:r>
    </w:p>
    <w:p>
      <w:pPr/>
      <w:r>
        <w:rPr/>
        <w:t xml:space="preserve">Ces clauses couvrent des domaines essentiels tels que la </w:t>
      </w:r>
      <w:r>
        <w:rPr>
          <w:b w:val="1"/>
          <w:bCs w:val="1"/>
        </w:rPr>
        <w:t xml:space="preserve">lutte contre la corruption, la prévention des conflits d’intérêts, le respect des normes environnementales et la prise en compte des risques climatiques.</w:t>
      </w:r>
    </w:p>
    <w:p>
      <w:pPr/>
      <w:r>
        <w:rPr/>
        <w:t xml:space="preserve">Toutefois, l’application de ces clauses doit être réalisée avec la plus grande prudence :</w:t>
      </w:r>
    </w:p>
    <w:p>
      <w:pPr>
        <w:numPr>
          <w:ilvl w:val="0"/>
          <w:numId w:val="1"/>
        </w:numPr>
      </w:pPr>
      <w:r>
        <w:rPr/>
        <w:t xml:space="preserve">Leur interprétation et leur mise en oeuvre varient selon les législations nationales et les pratiques contractuelles. Concernant la corruption et les conflits d’intérêts, de nombreux pays ont développé des réglementations spécifiques (ex. Loi Sapin II en France, FCPA aux États-Unis, UK Bribery Act au Royaume-Uni). Il est donc essentiel pour l’architecte et ses partenaires de s’y référer et de s’assurer que le contrat est conforme aux exigences locales.</w:t>
      </w:r>
    </w:p>
    <w:p>
      <w:pPr>
        <w:numPr>
          <w:ilvl w:val="0"/>
          <w:numId w:val="1"/>
        </w:numPr>
      </w:pPr>
      <w:r>
        <w:rPr/>
        <w:t xml:space="preserve">De même, les clauses environnementales et climatiques doivent être rédigées de manière réaliste et pragmatique, en tenant compte des ressources disponibles et des contraintes techniques du projet.</w:t>
      </w:r>
    </w:p>
    <w:p>
      <w:pPr>
        <w:numPr>
          <w:ilvl w:val="0"/>
          <w:numId w:val="1"/>
        </w:numPr>
      </w:pPr>
      <w:r>
        <w:rPr/>
        <w:t xml:space="preserve">Une surenchère de clauses trop strictes ou inadaptées peut se révéler contre-productive et source de contentieux.</w:t>
      </w:r>
    </w:p>
    <w:p>
      <w:pPr/>
      <w:r>
        <w:rPr>
          <w:b w:val="1"/>
          <w:bCs w:val="1"/>
        </w:rPr>
        <w:t xml:space="preserve">Clause Générale d’Éthique Professionnelle et de Gestion des Risques</w:t>
      </w:r>
    </w:p>
    <w:p>
      <w:pPr/>
      <w:r>
        <w:rPr/>
        <w:t xml:space="preserve">« </w:t>
      </w:r>
      <w:r>
        <w:rPr>
          <w:i w:val="1"/>
          <w:iCs w:val="1"/>
        </w:rPr>
        <w:t xml:space="preserve">Chaque partie contractante s'engage à observer une conduite professionnelle irréprochable, fondée sur les principes de transparence, d'intégrité et de responsabilité.</w:t>
      </w:r>
    </w:p>
    <w:p>
      <w:pPr/>
      <w:r>
        <w:rPr>
          <w:i w:val="1"/>
          <w:iCs w:val="1"/>
        </w:rPr>
        <w:t xml:space="preserve">À ce titre, elles devront mettre en oeuvre des mesures concrètes pour identifier, prévenir et atténuer tout risque de corruption, de conflit d’intérêts ainsi que les risques climatiques et environnementaux pouvant impacter l’exécution du présent contrat</w:t>
      </w:r>
      <w:r>
        <w:rPr/>
        <w:t xml:space="preserve">. »</w:t>
      </w:r>
    </w:p>
    <w:p>
      <w:pPr/>
      <w:r>
        <w:rPr/>
        <w:t xml:space="preserve">Transparence et prévention des conflits d'intérêts :</w:t>
      </w:r>
    </w:p>
    <w:p>
      <w:pPr/>
      <w:r>
        <w:rPr/>
        <w:t xml:space="preserve">« </w:t>
      </w:r>
      <w:r>
        <w:rPr>
          <w:i w:val="1"/>
          <w:iCs w:val="1"/>
        </w:rPr>
        <w:t xml:space="preserve">Chaque partie doit informer promptement l'autre de tout conflit d'intérêts réel ou potentiel pouvant influencer l'exécution du contrat. À cet effet, des mécanismes de contrôle interne et de déclaration périodique devront être instaurés .</w:t>
      </w:r>
      <w:r>
        <w:rPr/>
        <w:t xml:space="preserve">»</w:t>
      </w:r>
    </w:p>
    <w:p>
      <w:pPr/>
      <w:r>
        <w:rPr>
          <w:b w:val="1"/>
          <w:bCs w:val="1"/>
        </w:rPr>
        <w:t xml:space="preserve">Lutte contre la corruption :</w:t>
      </w:r>
    </w:p>
    <w:p>
      <w:pPr/>
      <w:r>
        <w:rPr/>
        <w:t xml:space="preserve">Les parties s'engagent à respecter les lois et règlements anticorruption en vigueur (par exemple, la Loi Sapin II pour les parties françaises ou ses équivalents internationaux) et à interdire toute pratique ou tentative de corruption.</w:t>
      </w:r>
    </w:p>
    <w:p>
      <w:pPr/>
      <w:r>
        <w:rPr>
          <w:b w:val="1"/>
          <w:bCs w:val="1"/>
        </w:rPr>
        <w:t xml:space="preserve">Pour aller plus loin : Exemple de l’Article 1.10 du FIDIC WHITE BOOK</w:t>
      </w:r>
    </w:p>
    <w:p>
      <w:pPr/>
      <w:r>
        <w:rPr>
          <w:i w:val="1"/>
          <w:iCs w:val="1"/>
        </w:rPr>
        <w:t xml:space="preserve">“1.10</w:t>
      </w:r>
    </w:p>
    <w:p>
      <w:pPr/>
      <w:r>
        <w:rPr>
          <w:i w:val="1"/>
          <w:iCs w:val="1"/>
        </w:rPr>
        <w:t xml:space="preserve">Anti-Corruption</w:t>
      </w:r>
    </w:p>
    <w:p>
      <w:pPr/>
      <w:r>
        <w:rPr>
          <w:i w:val="1"/>
          <w:iCs w:val="1"/>
        </w:rPr>
        <w:t xml:space="preserve">1.10.1 In the performance of their obligations under the Agreement, the Consultant and the Client, their agents and employees shall comply with all applicable laws, rules, regulations, and orders of any applicable jurisdiction, including without limitation those relating to corruption and bribery. The Parties shall also comply with the standards provided in the OECD Convention on Combating Bribery of Foreign Public Officials in International Business Transactions.</w:t>
      </w:r>
    </w:p>
    <w:p>
      <w:pPr/>
      <w:r>
        <w:rPr>
          <w:i w:val="1"/>
          <w:iCs w:val="1"/>
        </w:rPr>
        <w:t xml:space="preserve">The Consultant hereby represents, warrants and covenants that:</w:t>
      </w:r>
    </w:p>
    <w:p>
      <w:pPr/>
      <w:r>
        <w:rPr>
          <w:i w:val="1"/>
          <w:iCs w:val="1"/>
        </w:rPr>
        <w:t xml:space="preserve">a) it shall not participate, directly or indirectly in bribery, extortion, fraud, deception, collusion, cartels, abuse of power, embezzlement, trading in influence, money laundering, use of insider information, the possession of illegally obtained information or any other criminal activity; and</w:t>
      </w:r>
    </w:p>
    <w:p>
      <w:pPr/>
      <w:r>
        <w:rPr>
          <w:i w:val="1"/>
          <w:iCs w:val="1"/>
        </w:rPr>
        <w:t xml:space="preserve">b) it shall neither receive nor offer, pay or promise to pay either directly or indirectly, anything of value to a “public official” (as defined below) in connection with any business opportunities which are the subject of the Agreement. Furthermore, the Consultant shall immediately give Notice to the Client with full particulars in the event that the Consultant receives a request from any public official requesting illicit payments.</w:t>
      </w:r>
    </w:p>
    <w:p>
      <w:pPr/>
      <w:r>
        <w:rPr>
          <w:i w:val="1"/>
          <w:iCs w:val="1"/>
        </w:rPr>
        <w:t xml:space="preserve">1.10.2 A “public official” is:</w:t>
      </w:r>
    </w:p>
    <w:p>
      <w:pPr/>
      <w:r>
        <w:rPr>
          <w:i w:val="1"/>
          <w:iCs w:val="1"/>
        </w:rPr>
        <w:t xml:space="preserve">(a) any official or employee of any government agency or government-owned or controlled enterprise;</w:t>
      </w:r>
    </w:p>
    <w:p>
      <w:pPr/>
      <w:r>
        <w:rPr>
          <w:i w:val="1"/>
          <w:iCs w:val="1"/>
        </w:rPr>
        <w:t xml:space="preserve">(b) any person performing a public function;</w:t>
      </w:r>
    </w:p>
    <w:p>
      <w:pPr/>
      <w:r>
        <w:rPr>
          <w:i w:val="1"/>
          <w:iCs w:val="1"/>
        </w:rPr>
        <w:t xml:space="preserve">(c) any official or employee of a public international organisation including without limitation donor or funding agencies or the Client;</w:t>
      </w:r>
    </w:p>
    <w:p>
      <w:pPr/>
      <w:r>
        <w:rPr>
          <w:i w:val="1"/>
          <w:iCs w:val="1"/>
        </w:rPr>
        <w:t xml:space="preserve">(d) any candidate for political office; or (e) any political party or an official of a political party. 1.10.3 In conjunction with the requirements of this Clause 1.10 the Consultant shall at the Client’s request demonstrate that it adheres to a documented code of conduct in respect to the prevention of corruption and bribery. As a minimum the Consultant shall comply with the FIDIC Code of Ethics and the FIDIC Integrity Management System available at www.fidic.org.”</w:t>
      </w:r>
    </w:p>
    <w:p>
      <w:pPr/>
      <w:r>
        <w:rPr>
          <w:b w:val="1"/>
          <w:bCs w:val="1"/>
        </w:rPr>
        <w:t xml:space="preserve">Gestion des risques climatiques et environnementaux :</w:t>
      </w:r>
    </w:p>
    <w:p>
      <w:pPr/>
      <w:r>
        <w:rPr/>
        <w:t xml:space="preserve">Dans un contexte de transition écologique, les parties intègrent dans leurs processus de décision des critères de durabilité. Elles s'engagent à adopter des pratiques respectueuses de l'environnement et à mettre en place un dispositif de suivi et d'atténuation des risques liés aux aléas climatiques et environnementaux.</w:t>
      </w:r>
    </w:p>
    <w:p>
      <w:pPr/>
      <w:r>
        <w:rPr/>
        <w:t xml:space="preserve">Exemples : "</w:t>
      </w:r>
      <w:r>
        <w:rPr>
          <w:i w:val="1"/>
          <w:iCs w:val="1"/>
        </w:rPr>
        <w:t xml:space="preserve">Les parties conviennent d'intégrer dans le présent contrat des mesures de gestion environnementale conformes aux normes internationales (ISO 14001, par exemple) et de réévaluer périodiquement les impacts climatiques sur l'exécution des prestations. En cas de survenance d'événements exceptionnels liés aux conditions climatiques, une renégociation des délais ou des modalités d'exécution pourra être envisagée</w:t>
      </w:r>
      <w:r>
        <w:rPr/>
        <w:t xml:space="preserve">."</w:t>
      </w:r>
    </w:p>
    <w:p>
      <w:pPr/>
      <w:r>
        <w:rPr>
          <w:b w:val="1"/>
          <w:bCs w:val="1"/>
        </w:rPr>
        <w:t xml:space="preserve">Pour aller plus loin : Exemple clause FIDIC (Silver Book edition 2017 – subclause 4.18)</w:t>
      </w:r>
    </w:p>
    <w:p>
      <w:pPr/>
      <w:r>
        <w:rPr>
          <w:i w:val="1"/>
          <w:iCs w:val="1"/>
        </w:rPr>
        <w:t xml:space="preserve">“The Contractor shall take all necessary measures to:</w:t>
      </w:r>
    </w:p>
    <w:p>
      <w:pPr/>
      <w:r>
        <w:rPr>
          <w:i w:val="1"/>
          <w:iCs w:val="1"/>
        </w:rPr>
        <w:t xml:space="preserve">(a) protect the environment (both on and off the Site); (b) comply with the environmental impact statement for the Works (if any); and (c) limit damage and nuisance to people and property resulting from pollution, noise and other results of the Contractor’s operations and/or activities</w:t>
      </w:r>
    </w:p>
    <w:p>
      <w:pPr/>
      <w:r>
        <w:rPr>
          <w:i w:val="1"/>
          <w:iCs w:val="1"/>
        </w:rPr>
        <w:t xml:space="preserve">The Contractor shall ensure that emissions, surface discharges, effluent and any other pollutants from the Contractor’s activities shall exceed neither the values indicated in the Employer’s Requirements, nor those prescribed by applicable Laws”</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nsid w:val="26CC02E0"/>
    <w:multiLevelType w:val="hybridMultilevel"/>
    <w:lvl w:ilvl="0">
      <w:start w:val="1"/>
      <w:numFmt w:val="bullet"/>
      <w:suff w:val="tab"/>
      <w:lvlText w:val=""/>
      <w:lvlJc w:val="left"/>
      <w:pPr>
        <w:tabs>
          <w:tab w:val="num" w:pos="720"/>
        </w:tabs>
        <w:ind w:left="720" w:hanging="360"/>
      </w:pPr>
      <w:rPr>
        <w:rFonts w:ascii="Symbol" w:hAnsi="Symbol" w:cs="Symbol" w:hint="default"/>
      </w:rPr>
    </w:lvl>
    <w:lvl w:ilvl="1">
      <w:start w:val="1"/>
      <w:numFmt w:val="bullet"/>
      <w:suff w:val="tab"/>
      <w:lvlText w:val="o"/>
      <w:lvlJc w:val="left"/>
      <w:pPr>
        <w:tabs>
          <w:tab w:val="num" w:pos="1440"/>
        </w:tabs>
        <w:ind w:left="1440" w:hanging="360"/>
      </w:pPr>
      <w:rPr>
        <w:rFonts w:ascii="Courier New" w:hAnsi="Courier New" w:cs="Courier New" w:hint="default"/>
      </w:rPr>
    </w:lvl>
    <w:lvl w:ilvl="2">
      <w:start w:val="1"/>
      <w:numFmt w:val="bullet"/>
      <w:suff w:val="tab"/>
      <w:lvlText w:val=""/>
      <w:lvlJc w:val="left"/>
      <w:pPr>
        <w:tabs>
          <w:tab w:val="num" w:pos="2160"/>
        </w:tabs>
        <w:ind w:left="2160" w:hanging="360"/>
      </w:pPr>
      <w:rPr>
        <w:rFonts w:ascii="Wingdings" w:hAnsi="Wingdings" w:cs="Wingdings" w:hint="default"/>
      </w:rPr>
    </w:lvl>
    <w:lvl w:ilvl="3">
      <w:start w:val="1"/>
      <w:numFmt w:val="bullet"/>
      <w:suff w:val="tab"/>
      <w:lvlText w:val=""/>
      <w:lvlJc w:val="left"/>
      <w:pPr>
        <w:tabs>
          <w:tab w:val="num" w:pos="2880"/>
        </w:tabs>
        <w:ind w:left="2880" w:hanging="360"/>
      </w:pPr>
      <w:rPr>
        <w:rFonts w:ascii="Symbol" w:hAnsi="Symbol" w:cs="Symbol" w:hint="default"/>
      </w:rPr>
    </w:lvl>
    <w:lvl w:ilvl="4">
      <w:start w:val="1"/>
      <w:numFmt w:val="bullet"/>
      <w:suff w:val="tab"/>
      <w:lvlText w:val="o"/>
      <w:lvlJc w:val="left"/>
      <w:pPr>
        <w:tabs>
          <w:tab w:val="num" w:pos="3600"/>
        </w:tabs>
        <w:ind w:left="3600" w:hanging="360"/>
      </w:pPr>
      <w:rPr>
        <w:rFonts w:ascii="Courier New" w:hAnsi="Courier New" w:cs="Courier New" w:hint="default"/>
      </w:rPr>
    </w:lvl>
    <w:lvl w:ilvl="5">
      <w:start w:val="1"/>
      <w:numFmt w:val="bullet"/>
      <w:suff w:val="tab"/>
      <w:lvlText w:val=""/>
      <w:lvlJc w:val="left"/>
      <w:pPr>
        <w:tabs>
          <w:tab w:val="num" w:pos="4320"/>
        </w:tabs>
        <w:ind w:left="4320" w:hanging="360"/>
      </w:pPr>
      <w:rPr>
        <w:rFonts w:ascii="Wingdings" w:hAnsi="Wingdings" w:cs="Wingdings" w:hint="default"/>
      </w:rPr>
    </w:lvl>
    <w:lvl w:ilvl="6">
      <w:start w:val="1"/>
      <w:numFmt w:val="bullet"/>
      <w:suff w:val="tab"/>
      <w:lvlText w:val=""/>
      <w:lvlJc w:val="left"/>
      <w:pPr>
        <w:tabs>
          <w:tab w:val="num" w:pos="5040"/>
        </w:tabs>
        <w:ind w:left="5040" w:hanging="360"/>
      </w:pPr>
      <w:rPr>
        <w:rFonts w:ascii="Symbol" w:hAnsi="Symbol" w:cs="Symbol" w:hint="default"/>
      </w:rPr>
    </w:lvl>
    <w:lvl w:ilvl="7">
      <w:start w:val="1"/>
      <w:numFmt w:val="bullet"/>
      <w:suff w:val="tab"/>
      <w:lvlText w:val="o"/>
      <w:lvlJc w:val="left"/>
      <w:pPr>
        <w:tabs>
          <w:tab w:val="num" w:pos="5760"/>
        </w:tabs>
        <w:ind w:left="5760" w:hanging="360"/>
      </w:pPr>
      <w:rPr>
        <w:rFonts w:ascii="Courier New" w:hAnsi="Courier New" w:cs="Courier New" w:hint="default"/>
      </w:rPr>
    </w:lvl>
    <w:lvl w:ilvl="8">
      <w:start w:val="1"/>
      <w:numFmt w:val="bullet"/>
      <w:suff w:val="tab"/>
      <w:lvlText w:val=""/>
      <w:lvlJc w:val="left"/>
      <w:pPr>
        <w:tabs>
          <w:tab w:val="num" w:pos="6480"/>
        </w:tabs>
        <w:ind w:left="6480" w:hanging="360"/>
      </w:pPr>
      <w:rPr>
        <w:rFonts w:ascii="Wingdings" w:hAnsi="Wingdings" w:cs="Wingdings" w:hint="default"/>
      </w:rPr>
    </w:lvl>
  </w:abstractNum>
  <w:num w:numId="1">
    <w:abstractNumId w:val="1"/>
  </w:num>
</w:numbering>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2025-12-14T09:07:10+01:00</dcterms:created>
  <dcterms:modified xsi:type="dcterms:W3CDTF">2025-12-14T09:07:10+01:00</dcterms:modified>
</cp:coreProperties>
</file>

<file path=docProps/custom.xml><?xml version="1.0" encoding="utf-8"?>
<Properties xmlns="http://schemas.openxmlformats.org/officeDocument/2006/custom-properties" xmlns:vt="http://schemas.openxmlformats.org/officeDocument/2006/docPropsVTypes"/>
</file>