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Il est rappelé que les caractéristiques du terrain et vérifications techniques nécessitent l’intervention de tiers spécialisés, habilités et dûment assurés, que le Client choisira et rémunérera dans les délais compatibles avec ceux de l’opération.</w:t>
      </w:r>
    </w:p>
    <w:p>
      <w:pPr/>
      <w:r>
        <w:rPr/>
        <w:t xml:space="preserve">Le Client veille à la compatibilité du contenu de leurs missions avec celles du Prestataire.</w:t>
      </w:r>
    </w:p>
    <w:p>
      <w:pPr/>
      <w:r>
        <w:rPr/>
        <w:t xml:space="preserve">Les marchés de travaux seront dévolus à des entreprises de construction compétentes qui seront chargées de […].</w:t>
      </w:r>
    </w:p>
    <w:p>
      <w:pPr/>
      <w:r>
        <w:rPr/>
        <w:t xml:space="preserve">Le Prestataire ne pourra en aucune manière voir sa responsabilité engagée du fait des manquements ou des fautes des intervenants extérieurs.</w:t>
      </w:r>
    </w:p>
    <w:p>
      <w:pPr/>
      <w:r>
        <w:rPr/>
        <w:t xml:space="preserve">De manière non exhaustive les autres intervenants sont :</w:t>
      </w:r>
    </w:p>
    <w:p>
      <w:pPr>
        <w:numPr>
          <w:ilvl w:val="0"/>
          <w:numId w:val="1"/>
        </w:numPr>
      </w:pPr>
      <w:r>
        <w:rPr/>
        <w:t xml:space="preserve">Le Directeur d’opération</w:t>
      </w:r>
      <w:br/>
      <w:r>
        <w:rPr/>
        <w:t xml:space="preserve"> Le Client a décidé de s’adjoindre les compétences d’un Directeur d’opération afin de le conseiller dans les validations du projet et de l’assister dans les tâches administratives et techniques qui ne sont pas du ressort du Prestataire. La prestation du Directeur d’opération ne pourra interférer avec celle confiée au Prestataire.</w:t>
      </w:r>
    </w:p>
    <w:p>
      <w:pPr>
        <w:numPr>
          <w:ilvl w:val="0"/>
          <w:numId w:val="1"/>
        </w:numPr>
      </w:pPr>
      <w:r>
        <w:rPr/>
        <w:t xml:space="preserve">L’organisme d’audit technique réglementaire</w:t>
      </w:r>
      <w:br/>
      <w:r>
        <w:rPr/>
        <w:t xml:space="preserve"> Le Client s’engage à ce qu’au démarrage des études, l’organisme d’audit technique réglementaire fournisse la liste exhaustive des normes de construction applicables au projet.</w:t>
      </w:r>
      <w:br/>
      <w:r>
        <w:rPr/>
        <w:t xml:space="preserve"> L’organisme d’audit technique réglementaire devra effectuer sa mission dès les études et jusqu’à la réception définitive des travaux, dans des délais compatibles avec le planning général et les obligations des autres intervenants.</w:t>
      </w:r>
      <w:br/>
      <w:r>
        <w:rPr/>
        <w:t xml:space="preserve"> Le Client s’engage à obtenir de l’organisme d’audit technique réglementaire la communication de ses avis en copie au Prestataire, aux entreprises et à tous les autres intervenants concernés.</w:t>
      </w:r>
    </w:p>
    <w:p>
      <w:pPr>
        <w:numPr>
          <w:ilvl w:val="0"/>
          <w:numId w:val="1"/>
        </w:numPr>
      </w:pPr>
      <w:r>
        <w:rPr/>
        <w:t xml:space="preserve">Le géotechnicien</w:t>
      </w:r>
      <w:br/>
      <w:r>
        <w:rPr/>
        <w:t xml:space="preserve"> Le Client prendra toutes dispositions quant à l’intervention d’un spécialiste dans la mécanique des sols (Géotechnicien).</w:t>
      </w:r>
    </w:p>
    <w:p>
      <w:pPr>
        <w:numPr>
          <w:ilvl w:val="0"/>
          <w:numId w:val="1"/>
        </w:numPr>
      </w:pPr>
      <w:r>
        <w:rPr/>
        <w:t xml:space="preserve">Le géomètre</w:t>
      </w:r>
      <w:br/>
      <w:r>
        <w:rPr/>
        <w:t xml:space="preserve"> Le Client prendra toutes dispositions quant à l’intervention d’un Géomètre pour le relevé topographique du terrain nécessaire à la mission du Prestataire et pour les implantations de base nécessaires aux travaux.</w:t>
      </w:r>
    </w:p>
    <w:p>
      <w:pPr/>
      <w:r>
        <w:rPr/>
        <w:t xml:space="preserve">Le degré de subordination des intervenants extérieurs est régi par l’organigramme en annexe.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54B753BC"/>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2025-10-17T09:47:57+02:00</dcterms:created>
  <dcterms:modified xsi:type="dcterms:W3CDTF">2025-10-17T09:47:57+02:00</dcterms:modified>
</cp:coreProperties>
</file>

<file path=docProps/custom.xml><?xml version="1.0" encoding="utf-8"?>
<Properties xmlns="http://schemas.openxmlformats.org/officeDocument/2006/custom-properties" xmlns:vt="http://schemas.openxmlformats.org/officeDocument/2006/docPropsVTypes"/>
</file>