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Les demandes de modifications par le Client et leurs incidences financières seront formulées par courrier.</w:t>
      </w:r>
    </w:p>
    <w:p>
      <w:pPr/>
      <w:r>
        <w:rPr/>
        <w:t xml:space="preserve">Toute modification du projet devra faire l’objet d’un avenant qui fixe l’ampleur, le contenu et les conséquences notamment en termes de délais, de coûts et d’honoraires supplémentaires.</w:t>
      </w:r>
    </w:p>
    <w:p>
      <w:pPr/>
      <w:r>
        <w:rPr/>
        <w:t xml:space="preserve">Aucune modification architecturale et esthétique du projet, quelle que soit sa cause, son origine ou son impact financier, ne pourra être exécutée sans l’accord écrit de l’auteur. Aucune responsabilité ne saurait être imputée au Prestataire en l’absence d’un tel accord.</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2025-12-14T06:49:25+01:00</dcterms:created>
  <dcterms:modified xsi:type="dcterms:W3CDTF">2025-12-14T06:49:25+01:00</dcterms:modified>
</cp:coreProperties>
</file>

<file path=docProps/custom.xml><?xml version="1.0" encoding="utf-8"?>
<Properties xmlns="http://schemas.openxmlformats.org/officeDocument/2006/custom-properties" xmlns:vt="http://schemas.openxmlformats.org/officeDocument/2006/docPropsVTypes"/>
</file>