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frais suivants, non compris dans le forfait d’honoraires, seront facturés au Client :</w:t>
      </w:r>
    </w:p>
    <w:p>
      <w:pPr>
        <w:numPr>
          <w:ilvl w:val="0"/>
          <w:numId w:val="1"/>
        </w:numPr>
      </w:pPr>
      <w:r>
        <w:rPr/>
        <w:t xml:space="preserve">tout tirage supplémentaire (frais réels + 5 %) au-delà de [...] tirages</w:t>
      </w:r>
    </w:p>
    <w:p>
      <w:pPr>
        <w:numPr>
          <w:ilvl w:val="0"/>
          <w:numId w:val="1"/>
        </w:numPr>
      </w:pPr>
      <w:r>
        <w:rPr/>
        <w:t xml:space="preserve">les images/films de communication assurés par le Prestataire en direct ou en sous-traitance […] € /image + 15 % comprenant le suivi</w:t>
      </w:r>
    </w:p>
    <w:p>
      <w:pPr>
        <w:numPr>
          <w:ilvl w:val="0"/>
          <w:numId w:val="1"/>
        </w:numPr>
      </w:pPr>
      <w:r>
        <w:rPr/>
        <w:t xml:space="preserve">les maquettes (frais réels + 15 % comprenant le suivi de la maquette)</w:t>
      </w:r>
    </w:p>
    <w:p>
      <w:pPr>
        <w:numPr>
          <w:ilvl w:val="0"/>
          <w:numId w:val="1"/>
        </w:numPr>
      </w:pPr>
      <w:r>
        <w:rPr/>
        <w:t xml:space="preserve">les frais de déplacement en classe affaires et d’hébergement dans des hôtels de catégorie international entre la France et […] […] € / voyage + […] € / jour, (hors [X] voyages par étape et les visites de chantier inclus dans le forfait).</w:t>
      </w:r>
    </w:p>
    <w:p>
      <w:pPr/>
      <w:r>
        <w:rPr/>
        <w:t xml:space="preserve">Le Prestataire doit informer le Client et obtenir par écrit sa validation avant d’engager des frais complémentaires.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22651056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2025-10-17T09:42:41+02:00</dcterms:created>
  <dcterms:modified xsi:type="dcterms:W3CDTF">2025-10-17T09:42:41+02:00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